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tabs>
          <w:tab w:val="clear" w:pos="4153"/>
          <w:tab w:val="clear" w:pos="8306"/>
          <w:tab w:val="left" w:pos="1152" w:leader="none"/>
        </w:tabs>
        <w:jc w:val="center"/>
        <w:rPr>
          <w:rFonts w:ascii="標楷體" w:hAnsi="標楷體" w:eastAsia="標楷體" w:cs="標楷體"/>
          <w:b/>
          <w:b/>
          <w:bCs/>
          <w:sz w:val="28"/>
          <w:szCs w:val="28"/>
        </w:rPr>
      </w:pPr>
      <w:r>
        <w:rPr>
          <w:rFonts w:ascii="標楷體" w:hAnsi="標楷體" w:cs="標楷體" w:eastAsia="標楷體"/>
          <w:b/>
          <w:bCs/>
          <w:sz w:val="28"/>
          <w:szCs w:val="28"/>
        </w:rPr>
        <w:t>申 請 說 明</w:t>
      </w:r>
    </w:p>
    <w:p>
      <w:pPr>
        <w:pStyle w:val="Style18"/>
        <w:tabs>
          <w:tab w:val="clear" w:pos="4153"/>
          <w:tab w:val="clear" w:pos="8306"/>
          <w:tab w:val="left" w:pos="1152" w:leader="none"/>
        </w:tabs>
        <w:jc w:val="center"/>
        <w:rPr/>
      </w:pPr>
      <w:r>
        <w:rPr>
          <w:rStyle w:val="Style14"/>
          <w:rFonts w:ascii="標楷體" w:hAnsi="標楷體" w:cs="標楷體" w:eastAsia="標楷體"/>
          <w:b/>
          <w:bCs/>
          <w:sz w:val="28"/>
          <w:szCs w:val="28"/>
        </w:rPr>
        <w:t>高級中等以上學校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含五專及大專院校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組</w:t>
      </w:r>
    </w:p>
    <w:p>
      <w:pPr>
        <w:pStyle w:val="Style17"/>
        <w:tabs>
          <w:tab w:val="clear" w:pos="480"/>
        </w:tabs>
        <w:autoSpaceDE w:val="false"/>
        <w:ind w:left="566" w:hanging="566"/>
        <w:textAlignment w:val="auto"/>
        <w:rPr/>
      </w:pPr>
      <w:r>
        <w:rPr>
          <w:rStyle w:val="Style14"/>
          <w:rFonts w:ascii="標楷體" w:hAnsi="標楷體" w:cs="標楷體" w:eastAsia="標楷體"/>
          <w:sz w:val="28"/>
          <w:szCs w:val="28"/>
        </w:rPr>
        <w:t>一、申請資格：</w:t>
      </w:r>
      <w:r>
        <w:rPr>
          <w:rStyle w:val="Style14"/>
          <w:rFonts w:ascii="標楷體" w:hAnsi="標楷體" w:cs="Arial Unicode MS" w:eastAsia="標楷體"/>
          <w:color w:val="FF0000"/>
          <w:kern w:val="0"/>
          <w:sz w:val="28"/>
          <w:szCs w:val="28"/>
          <w:highlight w:val="yellow"/>
        </w:rPr>
        <w:t>設籍本市</w:t>
      </w:r>
      <w:r>
        <w:rPr>
          <w:rStyle w:val="Style14"/>
          <w:rFonts w:eastAsia="標楷體" w:cs="Arial Unicode MS" w:ascii="標楷體" w:hAnsi="標楷體"/>
          <w:color w:val="FF0000"/>
          <w:kern w:val="0"/>
          <w:sz w:val="28"/>
          <w:szCs w:val="28"/>
          <w:highlight w:val="yellow"/>
        </w:rPr>
        <w:t>6</w:t>
      </w:r>
      <w:r>
        <w:rPr>
          <w:rStyle w:val="Style14"/>
          <w:rFonts w:ascii="標楷體" w:hAnsi="標楷體" w:cs="Arial Unicode MS" w:eastAsia="標楷體"/>
          <w:color w:val="FF0000"/>
          <w:kern w:val="0"/>
          <w:sz w:val="28"/>
          <w:szCs w:val="28"/>
          <w:highlight w:val="yellow"/>
        </w:rPr>
        <w:t>個月</w:t>
      </w:r>
      <w:r>
        <w:rPr>
          <w:rStyle w:val="Style14"/>
          <w:rFonts w:ascii="標楷體" w:hAnsi="標楷體" w:cs="Arial Unicode MS" w:eastAsia="標楷體"/>
          <w:kern w:val="0"/>
          <w:sz w:val="28"/>
          <w:szCs w:val="28"/>
        </w:rPr>
        <w:t>以上，就讀</w:t>
      </w:r>
      <w:r>
        <w:rPr>
          <w:rStyle w:val="Style14"/>
          <w:rFonts w:ascii="標楷體" w:hAnsi="標楷體" w:cs="Arial Unicode MS" w:eastAsia="標楷體"/>
          <w:color w:val="FF0000"/>
          <w:kern w:val="0"/>
          <w:sz w:val="28"/>
          <w:szCs w:val="28"/>
        </w:rPr>
        <w:t>國內高級中等以上學校</w:t>
      </w:r>
      <w:r>
        <w:rPr>
          <w:rStyle w:val="Style14"/>
          <w:rFonts w:ascii="標楷體" w:hAnsi="標楷體" w:cs="Arial Unicode MS" w:eastAsia="標楷體"/>
          <w:kern w:val="0"/>
          <w:sz w:val="28"/>
          <w:szCs w:val="28"/>
        </w:rPr>
        <w:t>或本市國民中學之</w:t>
      </w:r>
      <w:r>
        <w:rPr>
          <w:rStyle w:val="Style14"/>
          <w:rFonts w:ascii="標楷體" w:hAnsi="標楷體" w:cs="Arial Unicode MS" w:eastAsia="標楷體"/>
          <w:color w:val="FF0000"/>
          <w:kern w:val="0"/>
          <w:sz w:val="28"/>
          <w:szCs w:val="28"/>
        </w:rPr>
        <w:t>在學清寒學生</w:t>
      </w:r>
      <w:r>
        <w:rPr>
          <w:rStyle w:val="Style14"/>
          <w:rFonts w:eastAsia="標楷體" w:cs="Arial Unicode MS" w:ascii="標楷體" w:hAnsi="標楷體"/>
          <w:color w:val="FF0000"/>
          <w:kern w:val="0"/>
          <w:sz w:val="28"/>
          <w:szCs w:val="28"/>
        </w:rPr>
        <w:t>(</w:t>
      </w:r>
      <w:r>
        <w:rPr>
          <w:rStyle w:val="Style14"/>
          <w:rFonts w:ascii="標楷體" w:hAnsi="標楷體" w:cs="DFKaiShu-SB-Estd-BF" w:eastAsia="標楷體"/>
          <w:color w:val="FF0000"/>
          <w:kern w:val="0"/>
          <w:sz w:val="28"/>
          <w:szCs w:val="28"/>
        </w:rPr>
        <w:t>不含進修部學生、進修學校學生、推廣進修班學生、空</w:t>
      </w:r>
    </w:p>
    <w:p>
      <w:pPr>
        <w:pStyle w:val="Style17"/>
        <w:tabs>
          <w:tab w:val="clear" w:pos="480"/>
        </w:tabs>
        <w:spacing w:lineRule="exact" w:line="400"/>
        <w:ind w:left="841" w:hanging="274"/>
        <w:rPr/>
      </w:pPr>
      <w:r>
        <w:rPr>
          <w:rStyle w:val="Style14"/>
          <w:rFonts w:ascii="標楷體" w:hAnsi="標楷體" w:cs="DFKaiShu-SB-Estd-BF" w:eastAsia="標楷體"/>
          <w:color w:val="FF0000"/>
          <w:kern w:val="0"/>
          <w:sz w:val="28"/>
          <w:szCs w:val="28"/>
        </w:rPr>
        <w:t>中大學學生、延修生、實習生、研究生、一年級上學期學生及公費生</w:t>
      </w:r>
      <w:r>
        <w:rPr>
          <w:rStyle w:val="Style14"/>
          <w:rFonts w:eastAsia="標楷體" w:cs="Arial Unicode MS" w:ascii="標楷體" w:hAnsi="標楷體"/>
          <w:color w:val="FF0000"/>
          <w:kern w:val="0"/>
          <w:sz w:val="28"/>
          <w:szCs w:val="28"/>
        </w:rPr>
        <w:t>)</w:t>
      </w:r>
      <w:r>
        <w:rPr>
          <w:rStyle w:val="Style14"/>
          <w:rFonts w:ascii="標楷體" w:hAnsi="標楷體" w:cs="標楷體" w:eastAsia="標楷體"/>
          <w:sz w:val="28"/>
          <w:szCs w:val="28"/>
        </w:rPr>
        <w:t>。</w:t>
      </w:r>
    </w:p>
    <w:p>
      <w:pPr>
        <w:pStyle w:val="Style17"/>
        <w:tabs>
          <w:tab w:val="clear" w:pos="480"/>
        </w:tabs>
        <w:spacing w:lineRule="exact" w:line="400"/>
        <w:ind w:left="841" w:hanging="841"/>
        <w:rPr/>
      </w:pPr>
      <w:r>
        <w:rPr>
          <w:rStyle w:val="Style14"/>
          <w:rFonts w:ascii="標楷體" w:hAnsi="標楷體" w:cs="標楷體" w:eastAsia="標楷體"/>
          <w:sz w:val="28"/>
          <w:szCs w:val="28"/>
        </w:rPr>
        <w:t>二、</w:t>
      </w:r>
      <w:r>
        <w:rPr>
          <w:rStyle w:val="Style14"/>
          <w:rFonts w:ascii="標楷體" w:hAnsi="標楷體" w:cs="標楷體" w:eastAsia="標楷體"/>
          <w:color w:val="FF0000"/>
          <w:sz w:val="28"/>
          <w:szCs w:val="28"/>
        </w:rPr>
        <w:t>申請標準：</w:t>
      </w:r>
    </w:p>
    <w:p>
      <w:pPr>
        <w:pStyle w:val="Style17"/>
        <w:autoSpaceDE w:val="false"/>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（一）大學校院及專科學校（含五年制專科學校四、五年級）：學業成績學</w:t>
      </w:r>
    </w:p>
    <w:p>
      <w:pPr>
        <w:pStyle w:val="Style17"/>
        <w:tabs>
          <w:tab w:val="clear" w:pos="480"/>
        </w:tabs>
        <w:autoSpaceDE w:val="false"/>
        <w:ind w:left="850" w:hanging="0"/>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期平均八十分以上，且當學期未有曠課紀錄及未受記過處分及累計三</w:t>
      </w:r>
    </w:p>
    <w:p>
      <w:pPr>
        <w:pStyle w:val="Style17"/>
        <w:tabs>
          <w:tab w:val="clear" w:pos="480"/>
        </w:tabs>
        <w:autoSpaceDE w:val="false"/>
        <w:ind w:left="850" w:hanging="0"/>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支警告以上者。</w:t>
      </w:r>
    </w:p>
    <w:p>
      <w:pPr>
        <w:pStyle w:val="Style17"/>
        <w:autoSpaceDE w:val="false"/>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（二）高級中等學校（含五年制專科學校一至三年級）：學業成績學期平均</w:t>
      </w:r>
    </w:p>
    <w:p>
      <w:pPr>
        <w:pStyle w:val="Style17"/>
        <w:autoSpaceDE w:val="false"/>
        <w:ind w:firstLine="848"/>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七十五分以上，且當學期未有曠課紀錄及未受記過處分及累計三支警</w:t>
      </w:r>
    </w:p>
    <w:p>
      <w:pPr>
        <w:pStyle w:val="Style17"/>
        <w:autoSpaceDE w:val="false"/>
        <w:ind w:firstLine="848"/>
        <w:textAlignment w:val="auto"/>
        <w:rPr>
          <w:rFonts w:ascii="標楷體" w:hAnsi="標楷體" w:eastAsia="標楷體" w:cs="DFKaiShu-SB-Estd-BF"/>
          <w:color w:val="FF0000"/>
          <w:kern w:val="0"/>
          <w:sz w:val="28"/>
          <w:szCs w:val="28"/>
        </w:rPr>
      </w:pPr>
      <w:r>
        <w:rPr>
          <w:rFonts w:ascii="標楷體" w:hAnsi="標楷體" w:cs="DFKaiShu-SB-Estd-BF" w:eastAsia="標楷體"/>
          <w:color w:val="FF0000"/>
          <w:kern w:val="0"/>
          <w:sz w:val="28"/>
          <w:szCs w:val="28"/>
        </w:rPr>
        <w:t>告以上者；惟普通型高級中等學校學業成績學期平均需八十分以上。</w:t>
      </w:r>
    </w:p>
    <w:p>
      <w:pPr>
        <w:pStyle w:val="Style17"/>
        <w:autoSpaceDE w:val="false"/>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（三）國民中學：各學習領域均達七十分（乙等）以上，且當學期未有曠課</w:t>
      </w:r>
    </w:p>
    <w:p>
      <w:pPr>
        <w:pStyle w:val="Style17"/>
        <w:tabs>
          <w:tab w:val="clear" w:pos="480"/>
        </w:tabs>
        <w:spacing w:lineRule="exact" w:line="400"/>
        <w:ind w:left="2407" w:hanging="1560"/>
        <w:rPr>
          <w:rFonts w:ascii="標楷體" w:hAnsi="標楷體" w:eastAsia="標楷體" w:cs="DFKaiShu-SB-Estd-BF"/>
          <w:kern w:val="0"/>
          <w:sz w:val="28"/>
          <w:szCs w:val="28"/>
        </w:rPr>
      </w:pPr>
      <w:r>
        <w:rPr>
          <w:rFonts w:ascii="標楷體" w:hAnsi="標楷體" w:cs="DFKaiShu-SB-Estd-BF" w:eastAsia="標楷體"/>
          <w:kern w:val="0"/>
          <w:sz w:val="28"/>
          <w:szCs w:val="28"/>
        </w:rPr>
        <w:t>紀錄及未受記過處分及累計三支警告以上者。</w:t>
      </w:r>
    </w:p>
    <w:p>
      <w:pPr>
        <w:pStyle w:val="Style17"/>
        <w:spacing w:lineRule="exact" w:line="400"/>
        <w:rPr/>
      </w:pPr>
      <w:r>
        <w:rPr>
          <w:rStyle w:val="Style14"/>
          <w:rFonts w:ascii="標楷體" w:hAnsi="標楷體" w:cs="標楷體" w:eastAsia="標楷體"/>
          <w:color w:val="FF0000"/>
          <w:sz w:val="28"/>
          <w:szCs w:val="28"/>
        </w:rPr>
        <w:t>三、應繳證件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影印本均需加蓋與正本相符及職章</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rPr>
        <w:t>：</w:t>
      </w:r>
    </w:p>
    <w:p>
      <w:pPr>
        <w:pStyle w:val="Style17"/>
        <w:tabs>
          <w:tab w:val="clear" w:pos="480"/>
        </w:tabs>
        <w:spacing w:lineRule="exact" w:line="400"/>
        <w:ind w:left="1121" w:hanging="1121"/>
        <w:rPr>
          <w:rFonts w:ascii="標楷體" w:hAnsi="標楷體" w:eastAsia="標楷體" w:cs="標楷體"/>
          <w:color w:val="FF0000"/>
          <w:sz w:val="28"/>
          <w:szCs w:val="28"/>
        </w:rPr>
      </w:pPr>
      <w:r>
        <w:rPr>
          <w:rFonts w:ascii="標楷體" w:hAnsi="標楷體" w:cs="標楷體" w:eastAsia="標楷體"/>
          <w:color w:val="FF0000"/>
          <w:sz w:val="28"/>
          <w:szCs w:val="28"/>
        </w:rPr>
        <w:t>（一）申請書一份。</w:t>
      </w:r>
    </w:p>
    <w:p>
      <w:pPr>
        <w:pStyle w:val="Style17"/>
        <w:tabs>
          <w:tab w:val="clear" w:pos="480"/>
        </w:tabs>
        <w:spacing w:lineRule="exact" w:line="400"/>
        <w:ind w:left="1121" w:hanging="1121"/>
        <w:rPr>
          <w:rFonts w:ascii="標楷體" w:hAnsi="標楷體" w:eastAsia="標楷體" w:cs="標楷體"/>
          <w:color w:val="FF0000"/>
          <w:sz w:val="28"/>
          <w:szCs w:val="28"/>
        </w:rPr>
      </w:pPr>
      <w:r>
        <w:rPr>
          <w:rFonts w:ascii="標楷體" w:hAnsi="標楷體" w:cs="標楷體" w:eastAsia="標楷體"/>
          <w:color w:val="FF0000"/>
          <w:sz w:val="28"/>
          <w:szCs w:val="28"/>
        </w:rPr>
        <w:t>（二）前一學期成績證明書一份。</w:t>
      </w:r>
    </w:p>
    <w:p>
      <w:pPr>
        <w:pStyle w:val="Style17"/>
        <w:tabs>
          <w:tab w:val="clear" w:pos="480"/>
        </w:tabs>
        <w:spacing w:lineRule="exact" w:line="400"/>
        <w:ind w:left="1121" w:hanging="1121"/>
        <w:rPr>
          <w:rFonts w:ascii="標楷體" w:hAnsi="標楷體" w:eastAsia="標楷體" w:cs="標楷體"/>
          <w:color w:val="FF0000"/>
          <w:sz w:val="28"/>
          <w:szCs w:val="28"/>
        </w:rPr>
      </w:pPr>
      <w:r>
        <w:rPr>
          <w:rFonts w:ascii="標楷體" w:hAnsi="標楷體" w:cs="標楷體" w:eastAsia="標楷體"/>
          <w:color w:val="FF0000"/>
          <w:sz w:val="28"/>
          <w:szCs w:val="28"/>
        </w:rPr>
        <w:t>（三）獎懲紀錄；前揭申請者亦需檢附出勤紀錄。</w:t>
      </w:r>
    </w:p>
    <w:p>
      <w:pPr>
        <w:pStyle w:val="Style17"/>
        <w:tabs>
          <w:tab w:val="clear" w:pos="480"/>
        </w:tabs>
        <w:spacing w:lineRule="exact" w:line="400"/>
        <w:ind w:left="1121" w:hanging="1121"/>
        <w:rPr>
          <w:rFonts w:ascii="標楷體" w:hAnsi="標楷體" w:eastAsia="標楷體" w:cs="標楷體"/>
          <w:color w:val="FF0000"/>
          <w:sz w:val="28"/>
          <w:szCs w:val="28"/>
        </w:rPr>
      </w:pPr>
      <w:r>
        <w:rPr>
          <w:rFonts w:ascii="標楷體" w:hAnsi="標楷體" w:cs="標楷體" w:eastAsia="標楷體"/>
          <w:color w:val="FF0000"/>
          <w:sz w:val="28"/>
          <w:szCs w:val="28"/>
        </w:rPr>
        <w:t>（四）在學證明書或學生證影印本一份。</w:t>
      </w:r>
    </w:p>
    <w:p>
      <w:pPr>
        <w:pStyle w:val="Style17"/>
        <w:tabs>
          <w:tab w:val="clear" w:pos="480"/>
        </w:tabs>
        <w:spacing w:lineRule="exact" w:line="400"/>
        <w:ind w:left="851" w:hanging="851"/>
        <w:rPr/>
      </w:pPr>
      <w:r>
        <w:rPr>
          <w:rStyle w:val="Style14"/>
          <w:rFonts w:ascii="標楷體" w:hAnsi="標楷體" w:cs="標楷體" w:eastAsia="標楷體"/>
          <w:color w:val="FF0000"/>
          <w:sz w:val="28"/>
          <w:szCs w:val="28"/>
        </w:rPr>
        <w:t>（五）區公所開立低、中低收入戶證明書、特殊境遇家庭核准公文或國稅局開立最近一年度綜合所得稅各類所得資料清單</w:t>
      </w:r>
      <w:r>
        <w:rPr>
          <w:rStyle w:val="Style14"/>
          <w:rFonts w:ascii="標楷體" w:hAnsi="標楷體" w:cs="標楷體" w:eastAsia="標楷體"/>
          <w:color w:val="FF0000"/>
          <w:sz w:val="28"/>
          <w:szCs w:val="28"/>
          <w:highlight w:val="yellow"/>
        </w:rPr>
        <w:t>【本府財政稅務局於白河、玉井、麻豆、永康、東南、歸仁、安南等</w:t>
      </w:r>
      <w:r>
        <w:rPr>
          <w:rStyle w:val="Style14"/>
          <w:rFonts w:eastAsia="標楷體" w:cs="標楷體" w:ascii="標楷體" w:hAnsi="標楷體"/>
          <w:color w:val="FF0000"/>
          <w:sz w:val="28"/>
          <w:szCs w:val="28"/>
          <w:highlight w:val="yellow"/>
        </w:rPr>
        <w:t>7</w:t>
      </w:r>
      <w:r>
        <w:rPr>
          <w:rStyle w:val="Style14"/>
          <w:rFonts w:ascii="標楷體" w:hAnsi="標楷體" w:cs="標楷體" w:eastAsia="標楷體"/>
          <w:color w:val="FF0000"/>
          <w:sz w:val="28"/>
          <w:szCs w:val="28"/>
          <w:highlight w:val="yellow"/>
        </w:rPr>
        <w:t>個地政事務所，新營、麻豆、臺南等</w:t>
      </w:r>
      <w:r>
        <w:rPr>
          <w:rStyle w:val="Style14"/>
          <w:rFonts w:eastAsia="標楷體" w:cs="標楷體" w:ascii="標楷體" w:hAnsi="標楷體"/>
          <w:color w:val="FF0000"/>
          <w:sz w:val="28"/>
          <w:szCs w:val="28"/>
          <w:highlight w:val="yellow"/>
        </w:rPr>
        <w:t>3</w:t>
      </w:r>
      <w:r>
        <w:rPr>
          <w:rStyle w:val="Style14"/>
          <w:rFonts w:ascii="標楷體" w:hAnsi="標楷體" w:cs="標楷體" w:eastAsia="標楷體"/>
          <w:color w:val="FF0000"/>
          <w:sz w:val="28"/>
          <w:szCs w:val="28"/>
          <w:highlight w:val="yellow"/>
        </w:rPr>
        <w:t>個監理站及善化區公所等</w:t>
      </w:r>
      <w:r>
        <w:rPr>
          <w:rStyle w:val="Style14"/>
          <w:rFonts w:eastAsia="標楷體" w:cs="標楷體" w:ascii="標楷體" w:hAnsi="標楷體"/>
          <w:color w:val="FF0000"/>
          <w:sz w:val="28"/>
          <w:szCs w:val="28"/>
          <w:highlight w:val="yellow"/>
        </w:rPr>
        <w:t>11</w:t>
      </w:r>
      <w:r>
        <w:rPr>
          <w:rStyle w:val="Style14"/>
          <w:rFonts w:ascii="標楷體" w:hAnsi="標楷體" w:cs="標楷體" w:eastAsia="標楷體"/>
          <w:color w:val="FF0000"/>
          <w:sz w:val="28"/>
          <w:szCs w:val="28"/>
          <w:highlight w:val="yellow"/>
        </w:rPr>
        <w:t>處設置「多點‧跨區‧全功能稅務櫃臺」</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如附件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成效良好，自</w:t>
      </w:r>
      <w:r>
        <w:rPr>
          <w:rStyle w:val="Style14"/>
          <w:rFonts w:eastAsia="標楷體" w:cs="標楷體" w:ascii="標楷體" w:hAnsi="標楷體"/>
          <w:color w:val="FF0000"/>
          <w:sz w:val="28"/>
          <w:szCs w:val="28"/>
          <w:highlight w:val="yellow"/>
        </w:rPr>
        <w:t>106</w:t>
      </w:r>
      <w:r>
        <w:rPr>
          <w:rStyle w:val="Style14"/>
          <w:rFonts w:ascii="標楷體" w:hAnsi="標楷體" w:cs="標楷體" w:eastAsia="標楷體"/>
          <w:color w:val="FF0000"/>
          <w:sz w:val="28"/>
          <w:szCs w:val="28"/>
          <w:highlight w:val="yellow"/>
        </w:rPr>
        <w:t>年</w:t>
      </w:r>
      <w:r>
        <w:rPr>
          <w:rStyle w:val="Style14"/>
          <w:rFonts w:eastAsia="標楷體" w:cs="標楷體" w:ascii="標楷體" w:hAnsi="標楷體"/>
          <w:color w:val="FF0000"/>
          <w:sz w:val="28"/>
          <w:szCs w:val="28"/>
          <w:highlight w:val="yellow"/>
        </w:rPr>
        <w:t>8</w:t>
      </w:r>
      <w:r>
        <w:rPr>
          <w:rStyle w:val="Style14"/>
          <w:rFonts w:ascii="標楷體" w:hAnsi="標楷體" w:cs="標楷體" w:eastAsia="標楷體"/>
          <w:color w:val="FF0000"/>
          <w:sz w:val="28"/>
          <w:szCs w:val="28"/>
          <w:highlight w:val="yellow"/>
        </w:rPr>
        <w:t>月</w:t>
      </w:r>
      <w:r>
        <w:rPr>
          <w:rStyle w:val="Style14"/>
          <w:rFonts w:eastAsia="標楷體" w:cs="標楷體" w:ascii="標楷體" w:hAnsi="標楷體"/>
          <w:color w:val="FF0000"/>
          <w:sz w:val="28"/>
          <w:szCs w:val="28"/>
          <w:highlight w:val="yellow"/>
        </w:rPr>
        <w:t>1</w:t>
      </w:r>
      <w:r>
        <w:rPr>
          <w:rStyle w:val="Style14"/>
          <w:rFonts w:ascii="標楷體" w:hAnsi="標楷體" w:cs="標楷體" w:eastAsia="標楷體"/>
          <w:color w:val="FF0000"/>
          <w:sz w:val="28"/>
          <w:szCs w:val="28"/>
          <w:highlight w:val="yellow"/>
        </w:rPr>
        <w:t>日起新增全國財產總歸戶清單、綜合所得稅所得及稅籍資料查詢</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債權人查調債務人除外</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，若學生有申請需求可就近辦理，請協助宣導此項服務。】</w:t>
      </w:r>
      <w:r>
        <w:rPr>
          <w:rStyle w:val="Style14"/>
          <w:rFonts w:ascii="標楷體" w:hAnsi="標楷體" w:cs="標楷體" w:eastAsia="標楷體"/>
          <w:sz w:val="28"/>
          <w:szCs w:val="28"/>
        </w:rPr>
        <w:t>一份。</w:t>
      </w:r>
    </w:p>
    <w:p>
      <w:pPr>
        <w:pStyle w:val="Style17"/>
        <w:tabs>
          <w:tab w:val="clear" w:pos="480"/>
        </w:tabs>
        <w:spacing w:lineRule="exact" w:line="400"/>
        <w:ind w:left="1121" w:hanging="1121"/>
        <w:rPr/>
      </w:pPr>
      <w:r>
        <w:rPr>
          <w:rStyle w:val="Style14"/>
          <w:rFonts w:ascii="標楷體" w:hAnsi="標楷體" w:cs="標楷體" w:eastAsia="標楷體"/>
          <w:color w:val="FF0000"/>
          <w:sz w:val="28"/>
          <w:szCs w:val="28"/>
        </w:rPr>
        <w:t>（六）戶口名簿或戶籍謄本</w:t>
      </w:r>
      <w:r>
        <w:rPr>
          <w:rStyle w:val="Style14"/>
          <w:rFonts w:eastAsia="標楷體" w:cs="標楷體" w:ascii="標楷體" w:hAnsi="標楷體"/>
          <w:color w:val="FF0000"/>
          <w:sz w:val="28"/>
          <w:szCs w:val="28"/>
        </w:rPr>
        <w:t>(</w:t>
      </w:r>
      <w:r>
        <w:rPr>
          <w:rStyle w:val="Style14"/>
          <w:rFonts w:ascii="標楷體" w:hAnsi="標楷體" w:cs="標楷體" w:eastAsia="標楷體"/>
          <w:color w:val="FF0000"/>
          <w:sz w:val="28"/>
          <w:szCs w:val="28"/>
          <w:highlight w:val="yellow"/>
        </w:rPr>
        <w:t>須含申請人完整記事</w:t>
      </w:r>
      <w:r>
        <w:rPr>
          <w:rStyle w:val="Style14"/>
          <w:rFonts w:eastAsia="標楷體" w:cs="標楷體" w:ascii="標楷體" w:hAnsi="標楷體"/>
          <w:color w:val="FF0000"/>
          <w:sz w:val="28"/>
          <w:szCs w:val="28"/>
        </w:rPr>
        <w:t>)</w:t>
      </w:r>
      <w:r>
        <w:rPr>
          <w:rStyle w:val="Style14"/>
          <w:rFonts w:ascii="標楷體" w:hAnsi="標楷體" w:cs="標楷體" w:eastAsia="標楷體"/>
          <w:color w:val="FF0000"/>
          <w:sz w:val="28"/>
          <w:szCs w:val="28"/>
        </w:rPr>
        <w:t>影印本一份</w:t>
      </w:r>
      <w:r>
        <w:rPr>
          <w:rStyle w:val="Style14"/>
          <w:rFonts w:ascii="標楷體" w:hAnsi="標楷體" w:cs="標楷體" w:eastAsia="標楷體"/>
          <w:sz w:val="28"/>
          <w:szCs w:val="28"/>
        </w:rPr>
        <w:t>。</w:t>
      </w:r>
    </w:p>
    <w:p>
      <w:pPr>
        <w:pStyle w:val="Style17"/>
        <w:tabs>
          <w:tab w:val="clear" w:pos="480"/>
        </w:tabs>
        <w:spacing w:lineRule="exact" w:line="400"/>
        <w:ind w:left="1121" w:hanging="1121"/>
        <w:rPr>
          <w:rFonts w:ascii="標楷體" w:hAnsi="標楷體" w:eastAsia="標楷體" w:cs="標楷體"/>
          <w:sz w:val="28"/>
          <w:szCs w:val="28"/>
        </w:rPr>
      </w:pPr>
      <w:r>
        <w:rPr>
          <w:rFonts w:ascii="標楷體" w:hAnsi="標楷體" w:cs="標楷體" w:eastAsia="標楷體"/>
          <w:sz w:val="28"/>
          <w:szCs w:val="28"/>
        </w:rPr>
        <w:t>四、學校審查意見欄：請承辦人審核後勾選並簽章。</w:t>
      </w:r>
    </w:p>
    <w:p>
      <w:pPr>
        <w:pStyle w:val="Style17"/>
        <w:tabs>
          <w:tab w:val="clear" w:pos="480"/>
        </w:tabs>
        <w:spacing w:lineRule="exact" w:line="400"/>
        <w:ind w:left="567" w:hanging="557"/>
        <w:rPr/>
      </w:pPr>
      <w:r>
        <w:rPr>
          <w:rStyle w:val="Style14"/>
          <w:rFonts w:ascii="標楷體" w:hAnsi="標楷體" w:cs="標楷體" w:eastAsia="標楷體"/>
          <w:sz w:val="28"/>
          <w:szCs w:val="28"/>
        </w:rPr>
        <w:t>五、已領取政府、其他民間機構或學校設立之</w:t>
      </w:r>
      <w:r>
        <w:rPr>
          <w:rStyle w:val="Style14"/>
          <w:rFonts w:ascii="標楷體" w:hAnsi="標楷體" w:cs="標楷體" w:eastAsia="標楷體"/>
          <w:color w:val="FF0000"/>
          <w:sz w:val="28"/>
          <w:szCs w:val="28"/>
          <w:highlight w:val="yellow"/>
        </w:rPr>
        <w:t>同額以上</w:t>
      </w:r>
      <w:r>
        <w:rPr>
          <w:rStyle w:val="Style14"/>
          <w:rFonts w:ascii="標楷體" w:hAnsi="標楷體" w:cs="標楷體" w:eastAsia="標楷體"/>
          <w:sz w:val="28"/>
          <w:szCs w:val="28"/>
        </w:rPr>
        <w:t>獎學金者，不得提出申請，重複領取者，本局得取消其資格。</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六、申請程序：</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一</w:t>
      </w:r>
      <w:r>
        <w:rPr>
          <w:rFonts w:eastAsia="標楷體" w:cs="標楷體" w:ascii="標楷體" w:hAnsi="標楷體"/>
          <w:sz w:val="28"/>
          <w:szCs w:val="28"/>
        </w:rPr>
        <w:t>)</w:t>
      </w:r>
      <w:r>
        <w:rPr>
          <w:rFonts w:ascii="標楷體" w:hAnsi="標楷體" w:cs="標楷體" w:eastAsia="標楷體"/>
          <w:sz w:val="28"/>
          <w:szCs w:val="28"/>
        </w:rPr>
        <w:t>請學校於申請期限內備齊相關資料，免備文掛號郵寄或逕送本府教育局審核。</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二</w:t>
      </w:r>
      <w:r>
        <w:rPr>
          <w:rFonts w:eastAsia="標楷體" w:cs="標楷體" w:ascii="標楷體" w:hAnsi="標楷體"/>
          <w:sz w:val="28"/>
          <w:szCs w:val="28"/>
        </w:rPr>
        <w:t>)</w:t>
      </w:r>
      <w:r>
        <w:rPr>
          <w:rFonts w:ascii="標楷體" w:hAnsi="標楷體" w:cs="標楷體" w:eastAsia="標楷體"/>
          <w:sz w:val="28"/>
          <w:szCs w:val="28"/>
        </w:rPr>
        <w:t>送件資料由就讀學校初審合格後，「依學業成績高低排序」彙集造冊、申請書及應繳交件按照順序以長尾夾裝訂造冊，請勿釘裝，俾利本局彙整。</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三</w:t>
      </w:r>
      <w:r>
        <w:rPr>
          <w:rFonts w:eastAsia="標楷體" w:cs="標楷體" w:ascii="標楷體" w:hAnsi="標楷體"/>
          <w:sz w:val="28"/>
          <w:szCs w:val="28"/>
        </w:rPr>
        <w:t>)</w:t>
      </w:r>
      <w:r>
        <w:rPr>
          <w:rFonts w:ascii="標楷體" w:hAnsi="標楷體" w:cs="標楷體" w:eastAsia="標楷體"/>
          <w:sz w:val="28"/>
          <w:szCs w:val="28"/>
        </w:rPr>
        <w:t>如前開送審資料未符合規定者（逾期、個別申請、申請書未蓋學校印章、文件不齊等），本局概不予審核；所送各項申請表件，不論審查合格與否，概不發還，旨揭奬學金經審核錄取者，本局將另函通知學校（由校方轉知學生）。</w:t>
      </w:r>
    </w:p>
    <w:p>
      <w:pPr>
        <w:pStyle w:val="Style17"/>
        <w:widowControl/>
        <w:rPr>
          <w:rFonts w:ascii="標楷體" w:hAnsi="標楷體" w:eastAsia="標楷體" w:cs="標楷體"/>
          <w:sz w:val="28"/>
          <w:szCs w:val="28"/>
        </w:rPr>
      </w:pPr>
      <w:r>
        <w:rPr>
          <w:rFonts w:eastAsia="標楷體" w:cs="標楷體" w:ascii="標楷體" w:hAnsi="標楷體"/>
          <w:sz w:val="28"/>
          <w:szCs w:val="28"/>
        </w:rPr>
      </w:r>
    </w:p>
    <w:sectPr>
      <w:type w:val="nextPage"/>
      <w:pgSz w:w="11906" w:h="16838"/>
      <w:pgMar w:left="1080" w:right="108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rFonts w:ascii="Times New Roman" w:hAnsi="Times New Roman" w:eastAsia="新細明體" w:cs="Times New Roman"/>
      <w:kern w:val="2"/>
      <w:sz w:val="20"/>
      <w:szCs w:val="20"/>
    </w:rPr>
  </w:style>
  <w:style w:type="character" w:styleId="Style16">
    <w:name w:val="頁尾 字元"/>
    <w:basedOn w:val="Style14"/>
    <w:qFormat/>
    <w:rPr>
      <w:rFonts w:ascii="Times New Roman" w:hAnsi="Times New Roman"/>
      <w:sz w:val="20"/>
      <w:szCs w:val="20"/>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Style18">
    <w:name w:val="Header"/>
    <w:basedOn w:val="Style17"/>
    <w:pPr>
      <w:tabs>
        <w:tab w:val="clear" w:pos="480"/>
        <w:tab w:val="center" w:pos="4153" w:leader="none"/>
        <w:tab w:val="right" w:pos="8306" w:leader="none"/>
      </w:tabs>
      <w:suppressAutoHyphens w:val="true"/>
      <w:snapToGrid w:val="false"/>
    </w:pPr>
    <w:rPr>
      <w:sz w:val="20"/>
    </w:rPr>
  </w:style>
  <w:style w:type="paragraph" w:styleId="Style19">
    <w:name w:val="Footer"/>
    <w:basedOn w:val="Style17"/>
    <w:pPr>
      <w:tabs>
        <w:tab w:val="clear" w:pos="480"/>
        <w:tab w:val="center" w:pos="4153" w:leader="none"/>
        <w:tab w:val="right" w:pos="8306" w:leader="none"/>
      </w:tabs>
      <w:suppressAutoHyphens w:val="true"/>
      <w:snapToGrid w:val="false"/>
    </w:pPr>
    <w:rPr>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LibreOffice/6.1.6.3$Windows_X86_64 LibreOffice_project/5896ab1714085361c45cf540f76f60673dd96a72</Application>
  <Pages>2</Pages>
  <Words>149</Words>
  <CharactersWithSpaces>1002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2022-02-23T06:51:00Z</dcterms:created>
  <dc:creator>MEI-LIN</dc:creator>
  <dc:description/>
  <dc:language>zh-TW</dc:language>
  <cp:lastModifiedBy>user</cp:lastModifiedBy>
  <dcterms:modified xsi:type="dcterms:W3CDTF">2023-01-05T01:32:00Z</dcterms:modified>
  <cp:revision>4</cp:revision>
  <dc:subject/>
  <dc:title/>
</cp:coreProperties>
</file>